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B613" w14:textId="77777777" w:rsidR="00302317" w:rsidRPr="00F93364" w:rsidRDefault="00302317" w:rsidP="00302317">
      <w:pPr>
        <w:pStyle w:val="Heading2"/>
        <w:spacing w:after="240"/>
        <w:rPr>
          <w:color w:val="auto"/>
          <w:sz w:val="28"/>
        </w:rPr>
      </w:pPr>
      <w:r w:rsidRPr="00F93364">
        <w:rPr>
          <w:color w:val="auto"/>
          <w:sz w:val="28"/>
        </w:rPr>
        <w:t>Additional information to be submitted with Part 3 AGAR</w:t>
      </w:r>
    </w:p>
    <w:p w14:paraId="453FDBD5" w14:textId="77777777" w:rsidR="00302317" w:rsidRPr="00141EAE" w:rsidRDefault="00302317" w:rsidP="00302317">
      <w:pPr>
        <w:pStyle w:val="Heading2"/>
        <w:spacing w:after="240"/>
        <w:rPr>
          <w:sz w:val="24"/>
        </w:rPr>
      </w:pPr>
      <w:r w:rsidRPr="00141EAE">
        <w:rPr>
          <w:sz w:val="24"/>
        </w:rPr>
        <w:t>Basic and Intermediate levels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1328"/>
      </w:tblGrid>
      <w:tr w:rsidR="00302317" w:rsidRPr="00265BA0" w14:paraId="7226AE6C" w14:textId="77777777" w:rsidTr="00867B58">
        <w:tc>
          <w:tcPr>
            <w:tcW w:w="7230" w:type="dxa"/>
            <w:shd w:val="clear" w:color="auto" w:fill="B8CCE4" w:themeFill="accent1" w:themeFillTint="66"/>
          </w:tcPr>
          <w:p w14:paraId="3DE1478E" w14:textId="77777777" w:rsidR="00302317" w:rsidRPr="009251FD" w:rsidRDefault="00302317" w:rsidP="00867B58">
            <w:pPr>
              <w:pStyle w:val="Style1"/>
              <w:numPr>
                <w:ilvl w:val="0"/>
                <w:numId w:val="0"/>
              </w:numPr>
              <w:rPr>
                <w:b/>
                <w:sz w:val="22"/>
              </w:rPr>
            </w:pPr>
            <w:r w:rsidRPr="009251FD">
              <w:rPr>
                <w:b/>
                <w:sz w:val="22"/>
              </w:rPr>
              <w:t>Item required.</w:t>
            </w:r>
          </w:p>
        </w:tc>
        <w:tc>
          <w:tcPr>
            <w:tcW w:w="1328" w:type="dxa"/>
            <w:shd w:val="clear" w:color="auto" w:fill="B8CCE4" w:themeFill="accent1" w:themeFillTint="66"/>
          </w:tcPr>
          <w:p w14:paraId="68391D52" w14:textId="5F44DBDA" w:rsidR="00302317" w:rsidRPr="009251FD" w:rsidRDefault="00302317" w:rsidP="00867B58">
            <w:pPr>
              <w:pStyle w:val="Style1"/>
              <w:numPr>
                <w:ilvl w:val="0"/>
                <w:numId w:val="0"/>
              </w:numPr>
              <w:rPr>
                <w:b/>
                <w:sz w:val="22"/>
              </w:rPr>
            </w:pPr>
            <w:r w:rsidRPr="009251FD">
              <w:rPr>
                <w:b/>
                <w:sz w:val="22"/>
              </w:rPr>
              <w:t>Y</w:t>
            </w:r>
            <w:r w:rsidR="00354C31">
              <w:rPr>
                <w:b/>
                <w:sz w:val="22"/>
              </w:rPr>
              <w:t xml:space="preserve">es or </w:t>
            </w:r>
            <w:r w:rsidRPr="009251FD">
              <w:rPr>
                <w:b/>
                <w:sz w:val="22"/>
              </w:rPr>
              <w:t>N</w:t>
            </w:r>
            <w:r w:rsidR="00354C31">
              <w:rPr>
                <w:b/>
                <w:sz w:val="22"/>
              </w:rPr>
              <w:t>o</w:t>
            </w:r>
            <w:r w:rsidRPr="009251FD">
              <w:rPr>
                <w:b/>
                <w:sz w:val="22"/>
              </w:rPr>
              <w:t xml:space="preserve"> </w:t>
            </w:r>
          </w:p>
        </w:tc>
      </w:tr>
      <w:tr w:rsidR="00302317" w:rsidRPr="00EA5F41" w14:paraId="6BACA75A" w14:textId="77777777" w:rsidTr="00867B58">
        <w:tc>
          <w:tcPr>
            <w:tcW w:w="7230" w:type="dxa"/>
          </w:tcPr>
          <w:p w14:paraId="50FE6B0E" w14:textId="60AF6454" w:rsidR="00302317" w:rsidRPr="009251FD" w:rsidRDefault="00302317" w:rsidP="00867B58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 xml:space="preserve">State the basis of accounts – Income and Expenditure (I&amp;E) </w:t>
            </w:r>
            <w:r w:rsidRPr="009251FD">
              <w:rPr>
                <w:b/>
                <w:sz w:val="22"/>
              </w:rPr>
              <w:t>or</w:t>
            </w:r>
            <w:r w:rsidRPr="009251FD">
              <w:rPr>
                <w:sz w:val="22"/>
              </w:rPr>
              <w:t xml:space="preserve"> Receipts and Payments (R&amp;P)</w:t>
            </w:r>
            <w:r w:rsidR="00354C31">
              <w:rPr>
                <w:sz w:val="22"/>
              </w:rPr>
              <w:t>.</w:t>
            </w:r>
          </w:p>
        </w:tc>
        <w:tc>
          <w:tcPr>
            <w:tcW w:w="1328" w:type="dxa"/>
          </w:tcPr>
          <w:p w14:paraId="4B5DE1CF" w14:textId="5FB377EB" w:rsidR="00302317" w:rsidRPr="009251FD" w:rsidRDefault="00926C76" w:rsidP="00867B58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R&amp;P</w:t>
            </w:r>
          </w:p>
        </w:tc>
      </w:tr>
      <w:tr w:rsidR="00302317" w:rsidRPr="00EA5F41" w14:paraId="50B84648" w14:textId="77777777" w:rsidTr="00867B58">
        <w:tc>
          <w:tcPr>
            <w:tcW w:w="7230" w:type="dxa"/>
          </w:tcPr>
          <w:p w14:paraId="599D09C6" w14:textId="77777777" w:rsidR="00302317" w:rsidRPr="009251FD" w:rsidRDefault="00302317" w:rsidP="00867B58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>Bank reconciliation (</w:t>
            </w:r>
            <w:r>
              <w:rPr>
                <w:sz w:val="22"/>
              </w:rPr>
              <w:t>N.B.</w:t>
            </w:r>
            <w:r w:rsidRPr="009251FD">
              <w:rPr>
                <w:sz w:val="22"/>
              </w:rPr>
              <w:t xml:space="preserve"> a </w:t>
            </w:r>
            <w:hyperlink r:id="rId5" w:history="1">
              <w:r w:rsidRPr="00A94958">
                <w:rPr>
                  <w:rStyle w:val="Hyperlink"/>
                  <w:sz w:val="22"/>
                </w:rPr>
                <w:t>pro-forma</w:t>
              </w:r>
            </w:hyperlink>
            <w:r w:rsidRPr="009251FD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document </w:t>
            </w:r>
            <w:r w:rsidRPr="009251FD">
              <w:rPr>
                <w:sz w:val="22"/>
              </w:rPr>
              <w:t xml:space="preserve">is available </w:t>
            </w:r>
            <w:r>
              <w:rPr>
                <w:sz w:val="22"/>
              </w:rPr>
              <w:t>online</w:t>
            </w:r>
            <w:r w:rsidRPr="009251FD">
              <w:rPr>
                <w:sz w:val="22"/>
              </w:rPr>
              <w:t>).</w:t>
            </w:r>
          </w:p>
        </w:tc>
        <w:tc>
          <w:tcPr>
            <w:tcW w:w="1328" w:type="dxa"/>
          </w:tcPr>
          <w:p w14:paraId="788CE84A" w14:textId="030C6487" w:rsidR="00302317" w:rsidRPr="009251FD" w:rsidRDefault="00926C76" w:rsidP="00867B58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Y</w:t>
            </w:r>
          </w:p>
        </w:tc>
      </w:tr>
      <w:tr w:rsidR="00302317" w:rsidRPr="00EA5F41" w14:paraId="20E55286" w14:textId="77777777" w:rsidTr="00867B58">
        <w:tc>
          <w:tcPr>
            <w:tcW w:w="7230" w:type="dxa"/>
          </w:tcPr>
          <w:p w14:paraId="486D2B78" w14:textId="23DFE502" w:rsidR="00302317" w:rsidRPr="009251FD" w:rsidRDefault="00302317" w:rsidP="00867B58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 xml:space="preserve">Explanations of significant </w:t>
            </w:r>
            <w:r>
              <w:rPr>
                <w:sz w:val="22"/>
              </w:rPr>
              <w:t>v</w:t>
            </w:r>
            <w:r w:rsidRPr="009251FD">
              <w:rPr>
                <w:sz w:val="22"/>
              </w:rPr>
              <w:t>ariances</w:t>
            </w:r>
            <w:r w:rsidR="00D145D3">
              <w:rPr>
                <w:sz w:val="22"/>
              </w:rPr>
              <w:t xml:space="preserve"> – with a numerical support</w:t>
            </w:r>
            <w:r w:rsidRPr="009251FD">
              <w:rPr>
                <w:sz w:val="22"/>
              </w:rPr>
              <w:t>:</w:t>
            </w:r>
          </w:p>
          <w:p w14:paraId="32757207" w14:textId="74F8B702" w:rsidR="00302317" w:rsidRDefault="00302317" w:rsidP="00A94958">
            <w:pPr>
              <w:pStyle w:val="Style1"/>
              <w:numPr>
                <w:ilvl w:val="0"/>
                <w:numId w:val="0"/>
              </w:numPr>
              <w:ind w:left="567"/>
              <w:rPr>
                <w:rFonts w:cs="Arial"/>
                <w:sz w:val="22"/>
              </w:rPr>
            </w:pPr>
            <w:r w:rsidRPr="009251FD">
              <w:rPr>
                <w:rFonts w:cs="Arial"/>
                <w:sz w:val="22"/>
              </w:rPr>
              <w:t xml:space="preserve">For boxes 2 – 10 in the Accounting Statements, where the </w:t>
            </w:r>
            <w:r w:rsidR="002B0219">
              <w:rPr>
                <w:rFonts w:cs="Arial"/>
                <w:sz w:val="22"/>
              </w:rPr>
              <w:t>202</w:t>
            </w:r>
            <w:r w:rsidR="00354C31">
              <w:rPr>
                <w:rFonts w:cs="Arial"/>
                <w:sz w:val="22"/>
              </w:rPr>
              <w:t>3</w:t>
            </w:r>
            <w:r w:rsidRPr="009251FD">
              <w:rPr>
                <w:rFonts w:cs="Arial"/>
                <w:sz w:val="22"/>
              </w:rPr>
              <w:t xml:space="preserve"> figure is 15% greater than, or 15% less than, the </w:t>
            </w:r>
            <w:r w:rsidR="002B0219">
              <w:rPr>
                <w:rFonts w:cs="Arial"/>
                <w:sz w:val="22"/>
              </w:rPr>
              <w:t>202</w:t>
            </w:r>
            <w:r w:rsidR="00354C31">
              <w:rPr>
                <w:rFonts w:cs="Arial"/>
                <w:sz w:val="22"/>
              </w:rPr>
              <w:t>2</w:t>
            </w:r>
            <w:r w:rsidRPr="009251FD">
              <w:rPr>
                <w:rFonts w:cs="Arial"/>
                <w:sz w:val="22"/>
              </w:rPr>
              <w:t xml:space="preserve"> figure</w:t>
            </w:r>
            <w:r w:rsidRPr="009251FD">
              <w:rPr>
                <w:rFonts w:cs="Arial"/>
                <w:b/>
                <w:sz w:val="22"/>
              </w:rPr>
              <w:t xml:space="preserve"> unless</w:t>
            </w:r>
            <w:r w:rsidRPr="009251FD">
              <w:rPr>
                <w:rFonts w:cs="Arial"/>
                <w:sz w:val="22"/>
              </w:rPr>
              <w:t xml:space="preserve"> the variance is less than £500</w:t>
            </w:r>
            <w:r w:rsidR="00354C31">
              <w:rPr>
                <w:rFonts w:cs="Arial"/>
                <w:sz w:val="22"/>
              </w:rPr>
              <w:t>.</w:t>
            </w:r>
          </w:p>
          <w:p w14:paraId="1F298957" w14:textId="14560D10" w:rsidR="00354C31" w:rsidRPr="009251FD" w:rsidRDefault="00354C31" w:rsidP="00A94958">
            <w:pPr>
              <w:pStyle w:val="Style1"/>
              <w:numPr>
                <w:ilvl w:val="0"/>
                <w:numId w:val="0"/>
              </w:numPr>
              <w:ind w:left="567"/>
              <w:rPr>
                <w:sz w:val="22"/>
              </w:rPr>
            </w:pPr>
            <w:r>
              <w:rPr>
                <w:sz w:val="22"/>
              </w:rPr>
              <w:t>Please also provide an explanation if the variance is greater than £100,000 regardless of whether this is less than 15%.</w:t>
            </w:r>
          </w:p>
        </w:tc>
        <w:tc>
          <w:tcPr>
            <w:tcW w:w="1328" w:type="dxa"/>
          </w:tcPr>
          <w:p w14:paraId="178693EB" w14:textId="0D794B4A" w:rsidR="00302317" w:rsidRPr="009251FD" w:rsidRDefault="00926C76" w:rsidP="00867B58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Y</w:t>
            </w:r>
          </w:p>
        </w:tc>
      </w:tr>
      <w:tr w:rsidR="00302317" w:rsidRPr="00EA5F41" w14:paraId="62232EA9" w14:textId="77777777" w:rsidTr="00867B58">
        <w:tc>
          <w:tcPr>
            <w:tcW w:w="7230" w:type="dxa"/>
          </w:tcPr>
          <w:p w14:paraId="189BA258" w14:textId="77777777" w:rsidR="00302317" w:rsidRPr="009251FD" w:rsidRDefault="00302317" w:rsidP="00867B58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 xml:space="preserve">A </w:t>
            </w:r>
            <w:r>
              <w:rPr>
                <w:sz w:val="22"/>
              </w:rPr>
              <w:t>r</w:t>
            </w:r>
            <w:r w:rsidRPr="009251FD">
              <w:rPr>
                <w:sz w:val="22"/>
              </w:rPr>
              <w:t>econciliation between boxes 7 and 8 – this must be quantified.</w:t>
            </w:r>
          </w:p>
        </w:tc>
        <w:tc>
          <w:tcPr>
            <w:tcW w:w="1328" w:type="dxa"/>
          </w:tcPr>
          <w:p w14:paraId="25AFBE45" w14:textId="014A0ADD" w:rsidR="00302317" w:rsidRPr="009251FD" w:rsidRDefault="00926C76" w:rsidP="00867B58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Y</w:t>
            </w:r>
          </w:p>
        </w:tc>
      </w:tr>
      <w:tr w:rsidR="00302317" w:rsidRPr="00EA5F41" w14:paraId="7A3017E6" w14:textId="77777777" w:rsidTr="00867B58">
        <w:tc>
          <w:tcPr>
            <w:tcW w:w="7230" w:type="dxa"/>
          </w:tcPr>
          <w:p w14:paraId="7AC2022D" w14:textId="443FDA88" w:rsidR="00302317" w:rsidRPr="009251FD" w:rsidRDefault="00302317" w:rsidP="00867B58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>An explanation of any ‘No’ answers in Section 1 (Annual Governance Statement)</w:t>
            </w:r>
            <w:r w:rsidR="00354C31">
              <w:rPr>
                <w:sz w:val="22"/>
              </w:rPr>
              <w:t>.</w:t>
            </w:r>
          </w:p>
        </w:tc>
        <w:tc>
          <w:tcPr>
            <w:tcW w:w="1328" w:type="dxa"/>
          </w:tcPr>
          <w:p w14:paraId="7FDA710E" w14:textId="1A587AF8" w:rsidR="00302317" w:rsidRPr="009251FD" w:rsidRDefault="00926C76" w:rsidP="00867B58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NONE TO REPORT</w:t>
            </w:r>
          </w:p>
        </w:tc>
      </w:tr>
      <w:tr w:rsidR="00302317" w:rsidRPr="00EA5F41" w14:paraId="5312EDE0" w14:textId="77777777" w:rsidTr="00867B58">
        <w:tc>
          <w:tcPr>
            <w:tcW w:w="7230" w:type="dxa"/>
          </w:tcPr>
          <w:p w14:paraId="2211CF76" w14:textId="77777777" w:rsidR="00302317" w:rsidRPr="009251FD" w:rsidRDefault="00302317" w:rsidP="00867B58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>An explanation of any ‘No’ answers in the Annual Internal Audit Report.</w:t>
            </w:r>
          </w:p>
        </w:tc>
        <w:tc>
          <w:tcPr>
            <w:tcW w:w="1328" w:type="dxa"/>
          </w:tcPr>
          <w:p w14:paraId="2050B3EA" w14:textId="213040C6" w:rsidR="00302317" w:rsidRPr="009251FD" w:rsidRDefault="00926C76" w:rsidP="00867B58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NONE TO REPORT</w:t>
            </w:r>
          </w:p>
        </w:tc>
      </w:tr>
      <w:tr w:rsidR="00302317" w:rsidRPr="00EA5F41" w14:paraId="158BE218" w14:textId="77777777" w:rsidTr="00867B58">
        <w:tc>
          <w:tcPr>
            <w:tcW w:w="7230" w:type="dxa"/>
          </w:tcPr>
          <w:p w14:paraId="183C8A5C" w14:textId="5575DFBA" w:rsidR="00302317" w:rsidRPr="009251FD" w:rsidRDefault="00302317" w:rsidP="00565226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 xml:space="preserve">An explanation of the level of reserves held if more than twice the </w:t>
            </w:r>
            <w:r w:rsidR="00565226">
              <w:rPr>
                <w:sz w:val="22"/>
              </w:rPr>
              <w:t>precept</w:t>
            </w:r>
            <w:r w:rsidRPr="009251FD">
              <w:rPr>
                <w:sz w:val="22"/>
              </w:rPr>
              <w:t xml:space="preserve"> of the Authority.</w:t>
            </w:r>
          </w:p>
        </w:tc>
        <w:tc>
          <w:tcPr>
            <w:tcW w:w="1328" w:type="dxa"/>
          </w:tcPr>
          <w:p w14:paraId="6594B90C" w14:textId="0DCC9F45" w:rsidR="00302317" w:rsidRPr="009251FD" w:rsidRDefault="00926C76" w:rsidP="00867B58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</w:tr>
      <w:tr w:rsidR="00302317" w:rsidRPr="00EA5F41" w14:paraId="439E2E40" w14:textId="77777777" w:rsidTr="00867B58">
        <w:tc>
          <w:tcPr>
            <w:tcW w:w="7230" w:type="dxa"/>
          </w:tcPr>
          <w:p w14:paraId="326D794D" w14:textId="77777777" w:rsidR="00302317" w:rsidRPr="009251FD" w:rsidRDefault="00302317" w:rsidP="00867B58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>Whether you use the general power of competence.</w:t>
            </w:r>
          </w:p>
        </w:tc>
        <w:tc>
          <w:tcPr>
            <w:tcW w:w="1328" w:type="dxa"/>
          </w:tcPr>
          <w:p w14:paraId="2CD35CDC" w14:textId="7E06D089" w:rsidR="00302317" w:rsidRPr="009251FD" w:rsidRDefault="00926C76" w:rsidP="00867B58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</w:tr>
      <w:tr w:rsidR="00302317" w:rsidRPr="00EA5F41" w14:paraId="2988EE70" w14:textId="77777777" w:rsidTr="00867B58">
        <w:tc>
          <w:tcPr>
            <w:tcW w:w="7230" w:type="dxa"/>
          </w:tcPr>
          <w:p w14:paraId="26612E49" w14:textId="77777777" w:rsidR="00302317" w:rsidRPr="009251FD" w:rsidRDefault="00302317" w:rsidP="00867B58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>The dates for the period fo</w:t>
            </w:r>
            <w:r w:rsidR="00AF2234">
              <w:rPr>
                <w:sz w:val="22"/>
              </w:rPr>
              <w:t xml:space="preserve">r the exercise of public rights </w:t>
            </w:r>
            <w:r w:rsidR="00AF2234" w:rsidRPr="00AF2234">
              <w:rPr>
                <w:sz w:val="22"/>
              </w:rPr>
              <w:t xml:space="preserve">(N.B. a </w:t>
            </w:r>
            <w:hyperlink r:id="rId6" w:history="1">
              <w:r w:rsidR="00AF2234" w:rsidRPr="00A94958">
                <w:rPr>
                  <w:rStyle w:val="Hyperlink"/>
                  <w:sz w:val="22"/>
                </w:rPr>
                <w:t>pro-forma</w:t>
              </w:r>
            </w:hyperlink>
            <w:r w:rsidR="00AF2234" w:rsidRPr="00AF2234">
              <w:rPr>
                <w:sz w:val="22"/>
              </w:rPr>
              <w:t xml:space="preserve"> document is available online).</w:t>
            </w:r>
          </w:p>
        </w:tc>
        <w:tc>
          <w:tcPr>
            <w:tcW w:w="1328" w:type="dxa"/>
          </w:tcPr>
          <w:p w14:paraId="7939629C" w14:textId="0AF2EC02" w:rsidR="00302317" w:rsidRPr="009251FD" w:rsidRDefault="00926C76" w:rsidP="00926C76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Monday 5</w:t>
            </w:r>
            <w:r w:rsidRPr="00926C76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June 2023 –Friday 14</w:t>
            </w:r>
            <w:r w:rsidRPr="00926C76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July 2023</w:t>
            </w:r>
          </w:p>
        </w:tc>
      </w:tr>
      <w:tr w:rsidR="00302317" w:rsidRPr="00EA5F41" w14:paraId="3B438A35" w14:textId="77777777" w:rsidTr="00867B58">
        <w:tc>
          <w:tcPr>
            <w:tcW w:w="7230" w:type="dxa"/>
          </w:tcPr>
          <w:p w14:paraId="05300A98" w14:textId="7BD08A76" w:rsidR="00302317" w:rsidRPr="009251FD" w:rsidRDefault="00302317" w:rsidP="00867B58">
            <w:pPr>
              <w:pStyle w:val="Style1"/>
              <w:ind w:left="567" w:hanging="567"/>
              <w:rPr>
                <w:sz w:val="22"/>
              </w:rPr>
            </w:pPr>
            <w:r w:rsidRPr="009251FD">
              <w:rPr>
                <w:sz w:val="22"/>
              </w:rPr>
              <w:t>This sheet</w:t>
            </w:r>
            <w:r w:rsidR="00354C31">
              <w:rPr>
                <w:sz w:val="22"/>
              </w:rPr>
              <w:t xml:space="preserve"> should also be submitted</w:t>
            </w:r>
            <w:r w:rsidRPr="009251FD">
              <w:rPr>
                <w:sz w:val="22"/>
              </w:rPr>
              <w:t>, duly completed</w:t>
            </w:r>
            <w:r w:rsidR="00354C31">
              <w:rPr>
                <w:sz w:val="22"/>
              </w:rPr>
              <w:t>.</w:t>
            </w:r>
          </w:p>
        </w:tc>
        <w:tc>
          <w:tcPr>
            <w:tcW w:w="1328" w:type="dxa"/>
          </w:tcPr>
          <w:p w14:paraId="1F131CC6" w14:textId="5C0199C4" w:rsidR="00302317" w:rsidRPr="009251FD" w:rsidRDefault="00926C76" w:rsidP="00867B58">
            <w:pPr>
              <w:pStyle w:val="Style1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Y</w:t>
            </w:r>
          </w:p>
        </w:tc>
      </w:tr>
    </w:tbl>
    <w:p w14:paraId="2919E886" w14:textId="77777777" w:rsidR="007C0AA6" w:rsidRDefault="007C0AA6"/>
    <w:sectPr w:rsidR="007C0A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445B12"/>
    <w:multiLevelType w:val="hybridMultilevel"/>
    <w:tmpl w:val="B34CEE4A"/>
    <w:lvl w:ilvl="0" w:tplc="8A08B89A">
      <w:start w:val="1"/>
      <w:numFmt w:val="decimal"/>
      <w:pStyle w:val="Style1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08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317"/>
    <w:rsid w:val="001719A6"/>
    <w:rsid w:val="002B0219"/>
    <w:rsid w:val="00302317"/>
    <w:rsid w:val="00354C31"/>
    <w:rsid w:val="004574C2"/>
    <w:rsid w:val="00565226"/>
    <w:rsid w:val="006B6791"/>
    <w:rsid w:val="007C0AA6"/>
    <w:rsid w:val="00926C76"/>
    <w:rsid w:val="00937370"/>
    <w:rsid w:val="00A94958"/>
    <w:rsid w:val="00AD5DFD"/>
    <w:rsid w:val="00AF2234"/>
    <w:rsid w:val="00D145D3"/>
    <w:rsid w:val="00F6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B3163"/>
  <w15:docId w15:val="{BDB94C4A-EF36-4891-B476-21E7567A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C76"/>
    <w:pPr>
      <w:jc w:val="both"/>
    </w:pPr>
    <w:rPr>
      <w:rFonts w:eastAsia="Calibri" w:cs="Times New Roman"/>
      <w:sz w:val="2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2317"/>
    <w:pPr>
      <w:keepNext/>
      <w:keepLines/>
      <w:spacing w:after="0" w:line="240" w:lineRule="auto"/>
      <w:outlineLvl w:val="1"/>
    </w:pPr>
    <w:rPr>
      <w:rFonts w:eastAsiaTheme="majorEastAsia" w:cstheme="majorBidi"/>
      <w:b/>
      <w:bCs/>
      <w:color w:val="1F497D" w:themeColor="text2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02317"/>
    <w:rPr>
      <w:rFonts w:eastAsiaTheme="majorEastAsia" w:cstheme="majorBidi"/>
      <w:b/>
      <w:bCs/>
      <w:color w:val="1F497D" w:themeColor="text2"/>
      <w:szCs w:val="26"/>
    </w:rPr>
  </w:style>
  <w:style w:type="character" w:styleId="Hyperlink">
    <w:name w:val="Hyperlink"/>
    <w:basedOn w:val="DefaultParagraphFont"/>
    <w:uiPriority w:val="99"/>
    <w:unhideWhenUsed/>
    <w:rsid w:val="00302317"/>
    <w:rPr>
      <w:color w:val="0000FF" w:themeColor="hyperlink"/>
      <w:u w:val="single"/>
    </w:rPr>
  </w:style>
  <w:style w:type="paragraph" w:customStyle="1" w:styleId="Style1">
    <w:name w:val="Style1"/>
    <w:basedOn w:val="Normal"/>
    <w:rsid w:val="00302317"/>
    <w:pPr>
      <w:numPr>
        <w:numId w:val="1"/>
      </w:numPr>
      <w:spacing w:after="240" w:line="240" w:lineRule="auto"/>
    </w:pPr>
    <w:rPr>
      <w:sz w:val="20"/>
    </w:rPr>
  </w:style>
  <w:style w:type="table" w:styleId="TableGrid">
    <w:name w:val="Table Grid"/>
    <w:basedOn w:val="TableNormal"/>
    <w:uiPriority w:val="59"/>
    <w:rsid w:val="00302317"/>
    <w:pPr>
      <w:spacing w:after="0" w:line="240" w:lineRule="auto"/>
    </w:pPr>
    <w:rPr>
      <w:rFonts w:eastAsia="Calibri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F22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6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oore.co.uk/sectors/public-sector/smaller-authorities" TargetMode="External"/><Relationship Id="rId5" Type="http://schemas.openxmlformats.org/officeDocument/2006/relationships/hyperlink" Target="https://www.moore.co.uk/sectors/public-sector/smaller-authorit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Thomas</dc:creator>
  <cp:lastModifiedBy>PARISH CLERK</cp:lastModifiedBy>
  <cp:revision>5</cp:revision>
  <dcterms:created xsi:type="dcterms:W3CDTF">2023-03-02T16:25:00Z</dcterms:created>
  <dcterms:modified xsi:type="dcterms:W3CDTF">2023-03-17T10:58:00Z</dcterms:modified>
</cp:coreProperties>
</file>